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662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</w:pPr>
    </w:p>
    <w:p w:rsidR="00231662" w:rsidRPr="00144B78" w:rsidRDefault="00231662" w:rsidP="0023166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t-BR"/>
        </w:rPr>
      </w:pPr>
      <w:r w:rsidRPr="00144B78">
        <w:rPr>
          <w:rFonts w:ascii="Arial" w:hAnsi="Arial" w:cs="Arial"/>
          <w:b/>
          <w:sz w:val="16"/>
          <w:szCs w:val="16"/>
          <w:u w:val="single"/>
        </w:rPr>
        <w:t>ESCLARECIMENTO 3</w:t>
      </w:r>
    </w:p>
    <w:p w:rsidR="00231662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</w:pPr>
    </w:p>
    <w:p w:rsidR="00231662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</w:pPr>
    </w:p>
    <w:p w:rsidR="00231662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</w:pPr>
    </w:p>
    <w:p w:rsidR="008E314C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Pergunta 1 - </w:t>
      </w:r>
      <w:r w:rsidR="008E314C"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Será necessária garantia contratual para este processo? Se sim, qual será o percentual?</w:t>
      </w:r>
    </w:p>
    <w:p w:rsidR="00231662" w:rsidRPr="00144B78" w:rsidRDefault="00231662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</w:p>
    <w:p w:rsidR="000333E8" w:rsidRPr="00144B78" w:rsidRDefault="000333E8" w:rsidP="008E314C">
      <w:pPr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Resposta</w:t>
      </w:r>
      <w:r w:rsidR="00231662" w:rsidRPr="00144B78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 xml:space="preserve"> 1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: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</w:t>
      </w:r>
      <w:r w:rsidR="00900935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Não consta </w:t>
      </w:r>
      <w:proofErr w:type="gramStart"/>
      <w:r w:rsidR="00900935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do edital previsão</w:t>
      </w:r>
      <w:proofErr w:type="gramEnd"/>
      <w:r w:rsidR="00900935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de garantia contratual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.</w:t>
      </w:r>
      <w:r w:rsidR="00900935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Consta g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arantia </w:t>
      </w:r>
      <w:r w:rsidR="00CE577F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“</w:t>
      </w:r>
      <w:proofErr w:type="spellStart"/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on</w:t>
      </w:r>
      <w:proofErr w:type="spellEnd"/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site</w:t>
      </w:r>
      <w:r w:rsidR="00CE577F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”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nos termos previstos no edital</w:t>
      </w:r>
      <w:r w:rsidR="00CE577F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e anexos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.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</w:p>
    <w:p w:rsidR="008E314C" w:rsidRPr="00144B78" w:rsidRDefault="001514DA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Pergunta 2 -</w:t>
      </w:r>
      <w:r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</w:t>
      </w:r>
      <w:r w:rsidR="008E314C"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É requerido no Edital dois prazos de entrega, sendo de até 20 (vinte) dias corridos para entrega dos equipamentos propostos a contar do recebimento da requisição. Ponderando que o fornecimento de materiais de informática e eletrodomésticos envolve fabricantes, distribuidores, revenda, logística e cliente final, as proponentes que prezam pela qualidade no fornecimento e em honrar seus contratos podem ser afastadas por prazos de entrega extremamente curtos, em especial aquelas que estão sediadas em outras localidades, como é o nosso caso. Deve a Contratante dispor no instrumento convocatório prazo para entrega razoável, para que o licitante possa programar-se com tranquilidade e efetuar a entrega com presteza, em tempo hábil, sem que haja nenhum tipo de transtorno.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Dessa forma, entendemos que, para ampliar o universo de participantes e fornecer à Administração os objetos licitados numa condição mais vantajosa, o prazo de entrega, adequado às práticas comerciais, poderá ser de até 30 (trinta) dias corridos, a contar do recebimento da Nota de Empenho ou documento equivalente, sendo assim mais razoável. Nosso entendimento está correto?</w:t>
      </w:r>
    </w:p>
    <w:p w:rsidR="001B4509" w:rsidRPr="00144B78" w:rsidRDefault="001B4509" w:rsidP="008E31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1B4509" w:rsidRPr="00144B78" w:rsidRDefault="004A6478" w:rsidP="008E314C">
      <w:pPr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Resposta</w:t>
      </w:r>
      <w:r w:rsidR="001514DA" w:rsidRPr="00144B78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 xml:space="preserve"> 2</w:t>
      </w:r>
      <w:r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: O licitante d</w:t>
      </w:r>
      <w:r w:rsidR="001B4509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everá ser observado </w:t>
      </w:r>
      <w:r w:rsidR="0057392D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os prazos d</w:t>
      </w:r>
      <w:r w:rsidR="001B4509" w:rsidRPr="00144B78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o edital e anexos.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8E314C" w:rsidRPr="00144B78" w:rsidRDefault="001514DA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Pergunta 3</w:t>
      </w:r>
      <w:r w:rsidR="008E314C"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:</w:t>
      </w:r>
      <w:r w:rsidR="001B4509" w:rsidRPr="00144B78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 </w:t>
      </w:r>
      <w:proofErr w:type="gramStart"/>
      <w:r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</w:t>
      </w:r>
      <w:r w:rsidR="008E314C"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Após</w:t>
      </w:r>
      <w:proofErr w:type="gramEnd"/>
      <w:r w:rsidR="008E314C"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leitura e análise do edital, não encontramos os valores estimados para o lote licitado e, diariamente, temos acompanhado inúmeros pregões cujos valores estimados não são divulgados e ao final da sessão percebe-se que nenhum licitante alcançou o valor exigido pelo Órgão. Situações como essa, além de caracterizarem um desperdício de tempo e dinheiro público, comprometem o caráter competitivo do certame. É preciso destacar que o preço estimado é um dos parâmetros que a Administração e os licitantes utilizam para efetivar contratações, sendo imprescindível a publicidade destes. Salientamos ainda que há inúmeros Acórdão</w:t>
      </w:r>
      <w:r w:rsidR="008E314C" w:rsidRPr="00144B78">
        <w:rPr>
          <w:rFonts w:ascii="Arial" w:eastAsia="Times New Roman" w:hAnsi="Arial" w:cs="Arial"/>
          <w:color w:val="1F497D"/>
          <w:sz w:val="16"/>
          <w:szCs w:val="16"/>
          <w:lang w:eastAsia="pt-BR"/>
        </w:rPr>
        <w:t>s</w:t>
      </w:r>
      <w:r w:rsidR="008E314C"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 do TCU que tratam deste tema, conforme abaixo: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“</w:t>
      </w: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shd w:val="clear" w:color="auto" w:fill="FFFFFF"/>
          <w:lang w:eastAsia="pt-BR"/>
        </w:rPr>
        <w:t>4. </w:t>
      </w: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 xml:space="preserve">Nas modalidades licitatórias tradicionais, de acordo com o art. 40, § 2º, II, da Lei n.º 8.666/93, o orçamento estimado deve figurar como anexo do edital, contemplando o preço de referência e, se for o caso, o preço máximo que a Administração se dispõe a </w:t>
      </w:r>
      <w:proofErr w:type="gramStart"/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pagar.”</w:t>
      </w:r>
      <w:proofErr w:type="gramEnd"/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 </w:t>
      </w: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shd w:val="clear" w:color="auto" w:fill="FFFFFF"/>
          <w:lang w:eastAsia="pt-BR"/>
        </w:rPr>
        <w:t>(Rel. Min. José Jorge, Acórdão nº 392/2011 – Plenário).</w:t>
      </w:r>
    </w:p>
    <w:p w:rsidR="008E314C" w:rsidRPr="00144B78" w:rsidRDefault="008E314C" w:rsidP="008E314C">
      <w:pPr>
        <w:spacing w:after="0" w:line="240" w:lineRule="auto"/>
        <w:ind w:left="2124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 xml:space="preserve">“Os editais de licitação devem conter orçamentos estimados em planilhas de quantitativos e preços </w:t>
      </w:r>
      <w:proofErr w:type="gramStart"/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unitários.”</w:t>
      </w:r>
      <w:proofErr w:type="gramEnd"/>
      <w:r w:rsidRPr="00144B78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 xml:space="preserve"> Acórdão 697/2006 Plenário (Sumário)</w:t>
      </w:r>
    </w:p>
    <w:p w:rsidR="008E314C" w:rsidRPr="00144B78" w:rsidRDefault="008E314C" w:rsidP="008E314C">
      <w:pPr>
        <w:spacing w:after="0" w:line="240" w:lineRule="auto"/>
        <w:ind w:left="2124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 xml:space="preserve">“Promova a inclusão nos instrumentos convocatórios do valor estimado para a contratação do objeto do certame, assim como o cronograma das fases dos processos seletivos, em atendimento aos princípios da publicidade e do julgamento objetivo das </w:t>
      </w:r>
      <w:proofErr w:type="gramStart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propostas.”</w:t>
      </w:r>
      <w:proofErr w:type="gramEnd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 xml:space="preserve"> Acórdão 1557/2009 Plenário</w:t>
      </w:r>
    </w:p>
    <w:p w:rsidR="008E314C" w:rsidRPr="00144B78" w:rsidRDefault="008E314C" w:rsidP="008E314C">
      <w:pPr>
        <w:spacing w:after="0" w:line="240" w:lineRule="auto"/>
        <w:ind w:left="2124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lastRenderedPageBreak/>
        <w:t>“Faça constar, nos editais dos certames licitatórios promovidos sob a modalidade pregão, o valor estimado da contratação, em atenção ao princípio da publicidade, insculpido no art. 37 da Constituição Federal e no art. 3º da Lei n. 8.666/1993.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 xml:space="preserve">Faça constar dos editais dos pregões eletrônicos, caso julgue conveniente, o valor estimado da contratação em planilhas ou preços unitários ou a informação do local onde os interessados poderão obtê-lo, ressaltando-se a obrigatoriedade de que conste, também, do processo administrativo que fundamenta a licitação, após a fase de </w:t>
      </w:r>
      <w:proofErr w:type="gramStart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lances;”</w:t>
      </w:r>
      <w:proofErr w:type="gramEnd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 xml:space="preserve"> Acórdão 394/2009 Plenário (redação dada pelo Acórdão 1789/2009 Plenário)</w:t>
      </w:r>
    </w:p>
    <w:p w:rsidR="008E314C" w:rsidRPr="00144B78" w:rsidRDefault="008E314C" w:rsidP="008E314C">
      <w:pPr>
        <w:spacing w:after="0" w:line="240" w:lineRule="auto"/>
        <w:ind w:left="2124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“O TCU considerou irregularidade a ausência de disponibilização do orçamento estimativo aos licitantes, em detrimento do comando inserto no art. 40, § 2º, inciso II, da Lei nº 8.666/1993, bem assim do princípio da publicidade, insculpido no caput do art. 37, da Constituição Federal, e no art. 3º da Lei nº 8.666/</w:t>
      </w:r>
      <w:proofErr w:type="gramStart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>1993.”</w:t>
      </w:r>
      <w:proofErr w:type="gramEnd"/>
      <w:r w:rsidRPr="00144B78">
        <w:rPr>
          <w:rFonts w:ascii="Arial" w:eastAsia="Times New Roman" w:hAnsi="Arial" w:cs="Arial"/>
          <w:i/>
          <w:iCs/>
          <w:color w:val="222222"/>
          <w:sz w:val="16"/>
          <w:szCs w:val="16"/>
          <w:lang w:eastAsia="pt-BR"/>
        </w:rPr>
        <w:t xml:space="preserve"> Acórdão 2170/2008 Plenário</w:t>
      </w:r>
    </w:p>
    <w:p w:rsidR="008E314C" w:rsidRPr="00144B78" w:rsidRDefault="008E314C" w:rsidP="008E314C">
      <w:pPr>
        <w:spacing w:after="0" w:line="240" w:lineRule="auto"/>
        <w:ind w:left="2124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 </w:t>
      </w:r>
    </w:p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Diante de tais Acórdãos, restou demonstrado que este tema já foi amplamente discutido pelo Tribunal de Contas e que o entendimento é de que os valores estimados que compõem os processos licitatórios devem ser divulgados, </w:t>
      </w:r>
      <w:bookmarkStart w:id="0" w:name="_GoBack"/>
      <w:r w:rsidRPr="00144B78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principalmente quando o aludido valor for adotado como critério de aceitabilidade da proposta. Desta forma, </w:t>
      </w:r>
      <w:r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solicitamos que sejam divulgados os preços estimados dos lotes que compõem este processo.</w:t>
      </w:r>
    </w:p>
    <w:p w:rsidR="004A6478" w:rsidRPr="00144B78" w:rsidRDefault="004A6478" w:rsidP="008E314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</w:pPr>
    </w:p>
    <w:p w:rsidR="0057392D" w:rsidRPr="00144B78" w:rsidRDefault="00417A4C" w:rsidP="008E314C">
      <w:pPr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Resposta</w:t>
      </w:r>
      <w:r w:rsidR="001514DA"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 xml:space="preserve"> 3</w:t>
      </w:r>
      <w:r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:</w:t>
      </w:r>
      <w:r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 xml:space="preserve"> </w:t>
      </w:r>
      <w:r w:rsidR="00B063FA" w:rsidRPr="00144B78">
        <w:rPr>
          <w:rFonts w:ascii="Arial" w:hAnsi="Arial" w:cs="Arial"/>
          <w:b/>
          <w:color w:val="000000"/>
          <w:sz w:val="16"/>
          <w:szCs w:val="16"/>
          <w:shd w:val="clear" w:color="auto" w:fill="FFFFFF"/>
        </w:rPr>
        <w:t>Nos termos do art. 34 da Lei Federal 13.303/2016, que norteia o presente pregão o orçamento será sigiloso.</w:t>
      </w:r>
      <w:r w:rsidR="00566B45" w:rsidRPr="00144B78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 xml:space="preserve"> </w:t>
      </w:r>
    </w:p>
    <w:bookmarkEnd w:id="0"/>
    <w:p w:rsidR="008E314C" w:rsidRPr="00144B78" w:rsidRDefault="008E314C" w:rsidP="008E314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144B78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C116C2" w:rsidRPr="00144B78" w:rsidRDefault="00C116C2">
      <w:pPr>
        <w:rPr>
          <w:rFonts w:ascii="Arial" w:hAnsi="Arial" w:cs="Arial"/>
          <w:sz w:val="16"/>
          <w:szCs w:val="16"/>
        </w:rPr>
      </w:pPr>
    </w:p>
    <w:sectPr w:rsidR="00C116C2" w:rsidRPr="00144B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14C"/>
    <w:rsid w:val="000333E8"/>
    <w:rsid w:val="001007AD"/>
    <w:rsid w:val="00144B78"/>
    <w:rsid w:val="001514DA"/>
    <w:rsid w:val="001B4509"/>
    <w:rsid w:val="00231662"/>
    <w:rsid w:val="00290D31"/>
    <w:rsid w:val="003A32BE"/>
    <w:rsid w:val="00417A4C"/>
    <w:rsid w:val="004A6478"/>
    <w:rsid w:val="00566B45"/>
    <w:rsid w:val="0057392D"/>
    <w:rsid w:val="00595E39"/>
    <w:rsid w:val="008E314C"/>
    <w:rsid w:val="00900935"/>
    <w:rsid w:val="00A97D16"/>
    <w:rsid w:val="00B063FA"/>
    <w:rsid w:val="00BD444A"/>
    <w:rsid w:val="00C116C2"/>
    <w:rsid w:val="00CE577F"/>
    <w:rsid w:val="00D5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F5A54-14A1-4891-B02B-3B8F9CB2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1622">
                      <w:marLeft w:val="-60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01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78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35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2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779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736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464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42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818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06529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9829177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0719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5762434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42444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649967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370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804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695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702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SANTOS</dc:creator>
  <cp:keywords/>
  <dc:description/>
  <cp:lastModifiedBy>HELENA SANTOS</cp:lastModifiedBy>
  <cp:revision>6</cp:revision>
  <dcterms:created xsi:type="dcterms:W3CDTF">2019-03-15T20:59:00Z</dcterms:created>
  <dcterms:modified xsi:type="dcterms:W3CDTF">2019-03-18T21:55:00Z</dcterms:modified>
</cp:coreProperties>
</file>